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9C011D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9C011D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C011D">
              <w:rPr>
                <w:rFonts w:ascii="Times New Roman" w:hAnsi="Times New Roman" w:cs="Times New Roman"/>
                <w:sz w:val="20"/>
              </w:rPr>
              <w:t>-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C011D">
              <w:rPr>
                <w:rFonts w:ascii="Times New Roman" w:hAnsi="Times New Roman" w:cs="Times New Roman"/>
                <w:sz w:val="20"/>
              </w:rPr>
              <w:t>: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9C011D">
              <w:rPr>
                <w:rFonts w:ascii="Times New Roman" w:hAnsi="Times New Roman" w:cs="Times New Roman"/>
                <w:sz w:val="20"/>
              </w:rPr>
              <w:t>@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9C011D">
              <w:rPr>
                <w:rFonts w:ascii="Times New Roman" w:hAnsi="Times New Roman" w:cs="Times New Roman"/>
                <w:sz w:val="20"/>
              </w:rPr>
              <w:t>.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484A62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CA123B">
        <w:trPr>
          <w:trHeight w:val="1285"/>
        </w:trPr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23B" w:rsidRPr="00CA123B" w:rsidRDefault="00CA123B" w:rsidP="00CA123B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E5E55" w:rsidRPr="008E5E55" w:rsidRDefault="00CA123B" w:rsidP="008E5E55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оценке регулирующего воздействия (далее – ОРВ) проекта постановления администрации Ханты-Мансийского района </w:t>
      </w:r>
      <w:r w:rsidR="009417C2" w:rsidRPr="0094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E5E55" w:rsidRP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Порядков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55" w:rsidRP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субсидий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55" w:rsidRP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 реализации мероприятий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55" w:rsidRP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 «Развитие агропромышленного </w:t>
      </w:r>
    </w:p>
    <w:p w:rsidR="008E5E55" w:rsidRPr="008E5E55" w:rsidRDefault="008E5E55" w:rsidP="008E5E55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 на территории Ханты-Мансийского района»</w:t>
      </w:r>
    </w:p>
    <w:p w:rsidR="00CA123B" w:rsidRPr="00CA123B" w:rsidRDefault="00CA123B" w:rsidP="00CA123B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проект постановления).</w:t>
      </w:r>
    </w:p>
    <w:p w:rsidR="00CA123B" w:rsidRPr="00CA123B" w:rsidRDefault="00CA123B" w:rsidP="00CA123B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3B" w:rsidRP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2" w:name="Par647"/>
      <w:bookmarkEnd w:id="2"/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2.2 </w:t>
      </w:r>
      <w:hyperlink w:anchor="P40" w:history="1">
        <w:r w:rsidRPr="00CA12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 утвержденного постановлением администрации Ханты-Мансийского района от 28 марта 2017 года №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рассмотрев проект, пояснительную записку к нему, сводный отчет об оценке регулирующего воздействия (далее – ОРВ) проекта муниципального нормативного правового акта и свод предложений </w:t>
      </w: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A123B" w:rsidRP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(далее – проект акта) направлен регулирующим органом для подготовки настоящего заключения впервые.</w:t>
      </w:r>
    </w:p>
    <w:p w:rsidR="00CA123B" w:rsidRP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регулирующего воздействия проекта акта средняя: проект акта содержит положения, изменяющие ранее предусмотренные муниципальными правовыми актами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CA123B" w:rsidRP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ОРВ проекта акта размещена регулирующим органом на официальном сайте органов местного самоуправления Ханты-Мансийского </w:t>
      </w:r>
      <w:r w:rsidRPr="00C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E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CE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E4584" w:rsidRPr="00CE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E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A123B" w:rsidRP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электронный адрес размещения проекта акта в информационно-телекоммуникационной сети «Интернет»:</w:t>
      </w:r>
    </w:p>
    <w:p w:rsidR="00CA123B" w:rsidRPr="00CA123B" w:rsidRDefault="004C6D61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8" w:history="1">
        <w:r w:rsidR="00CA123B" w:rsidRPr="00CA12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http://hmrn.ru/allnpa/otsenka-reguliruyushchego-vozdeystviya/publichnye-konsultatsii.php</w:t>
        </w:r>
      </w:hyperlink>
    </w:p>
    <w:p w:rsidR="00CA123B" w:rsidRP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акта проведены публичные консультации в период                         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E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E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 в следующие организации: </w:t>
      </w:r>
    </w:p>
    <w:p w:rsidR="00CE4584" w:rsidRDefault="007E1657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E4584" w:rsidRPr="00CE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Ассоциация работодателей Ханты-Мансийского района</w:t>
      </w:r>
      <w:r w:rsidR="00CE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584" w:rsidRDefault="007E1657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E4584" w:rsidRPr="00CE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предпринимателям Ханты-Мансийского района</w:t>
      </w:r>
      <w:r w:rsidR="00CE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657" w:rsidRPr="007E1657" w:rsidRDefault="00CA123B" w:rsidP="007E1657">
      <w:pPr>
        <w:widowControl w:val="0"/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657">
        <w:rPr>
          <w:rFonts w:ascii="Times New Roman" w:hAnsi="Times New Roman"/>
          <w:sz w:val="28"/>
          <w:szCs w:val="28"/>
        </w:rPr>
        <w:t xml:space="preserve">По информации регулирующего органа при проведении публичных консультаций к проекту постановления администрации Ханты-Мансийского района </w:t>
      </w:r>
      <w:r w:rsidR="00CE4584" w:rsidRPr="007E1657">
        <w:rPr>
          <w:rFonts w:ascii="Times New Roman" w:hAnsi="Times New Roman"/>
          <w:sz w:val="28"/>
          <w:szCs w:val="28"/>
        </w:rPr>
        <w:t>поступил</w:t>
      </w:r>
      <w:r w:rsidR="008E5E55">
        <w:rPr>
          <w:rFonts w:ascii="Times New Roman" w:hAnsi="Times New Roman"/>
          <w:sz w:val="28"/>
          <w:szCs w:val="28"/>
        </w:rPr>
        <w:t>и</w:t>
      </w:r>
      <w:r w:rsidR="00D10889" w:rsidRPr="007E1657">
        <w:rPr>
          <w:rFonts w:ascii="Times New Roman" w:hAnsi="Times New Roman"/>
          <w:sz w:val="28"/>
          <w:szCs w:val="28"/>
        </w:rPr>
        <w:t xml:space="preserve"> </w:t>
      </w:r>
      <w:r w:rsidR="008E5E55">
        <w:rPr>
          <w:rFonts w:ascii="Times New Roman" w:hAnsi="Times New Roman"/>
          <w:sz w:val="28"/>
          <w:szCs w:val="28"/>
        </w:rPr>
        <w:t xml:space="preserve">отзывы </w:t>
      </w:r>
      <w:r w:rsidR="00CE4584" w:rsidRPr="007E1657">
        <w:rPr>
          <w:rFonts w:ascii="Times New Roman" w:hAnsi="Times New Roman"/>
          <w:sz w:val="28"/>
          <w:szCs w:val="28"/>
        </w:rPr>
        <w:t xml:space="preserve">от </w:t>
      </w:r>
      <w:r w:rsidR="008E5E55">
        <w:rPr>
          <w:rFonts w:ascii="Times New Roman" w:hAnsi="Times New Roman"/>
          <w:sz w:val="28"/>
          <w:szCs w:val="28"/>
        </w:rPr>
        <w:t xml:space="preserve">ООО НП Кордон, ИП </w:t>
      </w:r>
      <w:r w:rsidR="008E5E55">
        <w:rPr>
          <w:rFonts w:ascii="Times New Roman" w:hAnsi="Times New Roman"/>
          <w:sz w:val="28"/>
          <w:szCs w:val="28"/>
        </w:rPr>
        <w:lastRenderedPageBreak/>
        <w:t>Веретельников С.В</w:t>
      </w:r>
      <w:r w:rsidR="001E6BE8">
        <w:rPr>
          <w:rFonts w:ascii="Times New Roman" w:hAnsi="Times New Roman"/>
          <w:sz w:val="28"/>
          <w:szCs w:val="28"/>
        </w:rPr>
        <w:t>.</w:t>
      </w:r>
      <w:r w:rsidR="008E5E55">
        <w:rPr>
          <w:rFonts w:ascii="Times New Roman" w:hAnsi="Times New Roman"/>
          <w:sz w:val="28"/>
          <w:szCs w:val="28"/>
        </w:rPr>
        <w:t>, КФХ Башмаков В.А.,</w:t>
      </w:r>
      <w:r w:rsidR="004C76D1">
        <w:rPr>
          <w:rFonts w:ascii="Times New Roman" w:hAnsi="Times New Roman"/>
          <w:sz w:val="28"/>
          <w:szCs w:val="28"/>
        </w:rPr>
        <w:t xml:space="preserve"> ООО НРО Колмодай об отсутствии предложений и замечаний.</w:t>
      </w:r>
    </w:p>
    <w:p w:rsidR="004C76D1" w:rsidRDefault="004C76D1" w:rsidP="0090317D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разработан в</w:t>
      </w:r>
      <w:r w:rsidRPr="004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 статьей 78 Бюджетного кодекса Российской Федерации, постановлением Правительства Российской Федерации от 18 сентября 2020 года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 некоторых актов Правительства Российской Федерации», Законом  Ханты-Мансийского автономного округа-Югры 16 декабря 2010 года  № 228-оз «О наделении органов местного самоуправления муниципальных образований Ханты-Мансийского автономного округа-Югры отдельным государственным полномочием по поддержке сельскохозяйственного производства и деятельности по заготовке и переработке  дикоросов (за исключением  мероприятий, предусмотренных  федеральными целевыми программами)», постановлением Правительства Ханты-Мансийского автономного округа – Югры  от 5 октября 2018 года  № 344-п «О государственной программе Ханты-Мансийского автономного округа – Югры «Развитие  агропромышленного  комплекса»,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Ханты-Мансийского района. </w:t>
      </w:r>
    </w:p>
    <w:p w:rsidR="0043751F" w:rsidRPr="0043751F" w:rsidRDefault="0043751F" w:rsidP="0043751F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акта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и предоставления субсидий на поддержку и развитие    растениеводства (приложение 1);</w:t>
      </w:r>
    </w:p>
    <w:p w:rsidR="0043751F" w:rsidRPr="0043751F" w:rsidRDefault="004C6D61" w:rsidP="004C6D61">
      <w:pPr>
        <w:widowControl w:val="0"/>
        <w:spacing w:after="0" w:line="34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51F"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расчета и предоставления субсидий   на поддержку   животноводства (приложение 2);</w:t>
      </w:r>
    </w:p>
    <w:p w:rsidR="0043751F" w:rsidRPr="0043751F" w:rsidRDefault="0043751F" w:rsidP="0043751F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6D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 расчета и предоставления субсидий на  развитие  рыбохозяйственного комп</w:t>
      </w:r>
      <w:bookmarkStart w:id="3" w:name="_GoBack"/>
      <w:bookmarkEnd w:id="3"/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 (приложение 3);</w:t>
      </w:r>
    </w:p>
    <w:p w:rsidR="0043751F" w:rsidRPr="0043751F" w:rsidRDefault="0043751F" w:rsidP="0043751F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  и предоставления субсидий   на  поддержку  и </w:t>
      </w:r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малых форм хозяйствования (приложение 4);</w:t>
      </w:r>
    </w:p>
    <w:p w:rsidR="0043751F" w:rsidRDefault="0043751F" w:rsidP="0043751F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на развитие деятельности по  заготовке и переработке дикоросов (приложение 5).</w:t>
      </w:r>
    </w:p>
    <w:p w:rsidR="0043751F" w:rsidRDefault="0043751F" w:rsidP="0043751F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1F">
        <w:rPr>
          <w:rFonts w:ascii="Times New Roman" w:eastAsia="Calibri" w:hAnsi="Times New Roman" w:cs="Times New Roman"/>
          <w:sz w:val="28"/>
          <w:szCs w:val="28"/>
        </w:rPr>
        <w:t xml:space="preserve">Приложение № 1 проекта </w:t>
      </w:r>
      <w:r>
        <w:rPr>
          <w:rFonts w:ascii="Times New Roman" w:eastAsia="Calibri" w:hAnsi="Times New Roman" w:cs="Times New Roman"/>
          <w:sz w:val="28"/>
          <w:szCs w:val="28"/>
        </w:rPr>
        <w:t>НПА</w:t>
      </w:r>
      <w:r w:rsidRPr="0043751F">
        <w:rPr>
          <w:rFonts w:ascii="Times New Roman" w:eastAsia="Calibri" w:hAnsi="Times New Roman" w:cs="Times New Roman"/>
          <w:sz w:val="28"/>
          <w:szCs w:val="28"/>
        </w:rPr>
        <w:t xml:space="preserve"> определяет правила расчета и предоставления субсидий   на реализацию мероприятия муниципальной программы «Развитие агропромышленного  комплекса на территории Ханты- Мансийского района» «Поддержка  производства  и реализации продукции растениеводства» с целью возмещения затрат сельскохозяйственным товаропроизводителям, осуществляющим производство и реализацию  продукции растениеводства из бюджета  муниципального образования  за счет субвенций   из бюджета автономного округа</w:t>
      </w:r>
    </w:p>
    <w:p w:rsidR="0043751F" w:rsidRDefault="0043751F" w:rsidP="0090317D">
      <w:pPr>
        <w:widowControl w:val="0"/>
        <w:spacing w:after="0" w:line="34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НПА </w:t>
      </w:r>
      <w:r w:rsidRPr="0043751F">
        <w:rPr>
          <w:rFonts w:ascii="Times New Roman" w:eastAsia="Calibri" w:hAnsi="Times New Roman" w:cs="Times New Roman"/>
          <w:sz w:val="28"/>
          <w:szCs w:val="28"/>
        </w:rPr>
        <w:t>определяет правила расчета и предоставления субсидий   на реализацию мероприятия муниципальной программы «Развитие агропромышленного  комплекса на территории Ханты- Мансийского района» «Поддержка производства и реализации продукции животноводства» с целью возмещения затрат сельскохозяйственным товаропроизводителям, осуществляющим производство и реализацию продукции  животноводства из бюджета  муниципального образования  за счет субвенций   из бюджета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51F" w:rsidRDefault="0043751F" w:rsidP="0090317D">
      <w:pPr>
        <w:widowControl w:val="0"/>
        <w:spacing w:after="0" w:line="34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 проекта НПА</w:t>
      </w:r>
      <w:r w:rsidRPr="0043751F">
        <w:rPr>
          <w:rFonts w:ascii="Times New Roman" w:eastAsia="Calibri" w:hAnsi="Times New Roman" w:cs="Times New Roman"/>
          <w:sz w:val="28"/>
          <w:szCs w:val="28"/>
        </w:rPr>
        <w:t xml:space="preserve"> определяет правила расчета и предоставления субсидий   на реализацию мероприятия муниципальной программы «Развитие агропромышленного  комплекса на территории Ханты- Мансийского района» «Поддержка   рыбохозяйственного комплекса» с целью возмещения затрат сельскохозяйственным товаропроизводителям, осуществляющим производство и реализацию   продукции   аквакультуры (рыбоводства) и (или) пищевой рыбной продукции  из бюджета  муниципального образования  за счет субвенций   из бюджета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51F" w:rsidRDefault="0043751F" w:rsidP="0090317D">
      <w:pPr>
        <w:widowControl w:val="0"/>
        <w:spacing w:after="0" w:line="34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4 проекта НПА </w:t>
      </w:r>
      <w:r w:rsidRPr="0043751F">
        <w:rPr>
          <w:rFonts w:ascii="Times New Roman" w:eastAsia="Calibri" w:hAnsi="Times New Roman" w:cs="Times New Roman"/>
          <w:sz w:val="28"/>
          <w:szCs w:val="28"/>
        </w:rPr>
        <w:t xml:space="preserve">определяет правила расчета и </w:t>
      </w:r>
      <w:r w:rsidRPr="0043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субсидий   на реализацию мероприятия муниципальной программы «Развитие агропромышленного  </w:t>
      </w:r>
      <w:r w:rsidR="00BF297E">
        <w:rPr>
          <w:rFonts w:ascii="Times New Roman" w:eastAsia="Calibri" w:hAnsi="Times New Roman" w:cs="Times New Roman"/>
          <w:sz w:val="28"/>
          <w:szCs w:val="28"/>
        </w:rPr>
        <w:t>к</w:t>
      </w:r>
      <w:r w:rsidRPr="0043751F">
        <w:rPr>
          <w:rFonts w:ascii="Times New Roman" w:eastAsia="Calibri" w:hAnsi="Times New Roman" w:cs="Times New Roman"/>
          <w:sz w:val="28"/>
          <w:szCs w:val="28"/>
        </w:rPr>
        <w:t>омплекса на территории Ханты- Мансийского района» «Поддержка  малых форм хозяйствования, создания и модернизации объектов агропромышленного  комплекса, приобретения техники и  оборудования»    из бюджета  муниципального образования  за счет субвенций   из бюджета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51F" w:rsidRDefault="0043751F" w:rsidP="0090317D">
      <w:pPr>
        <w:widowControl w:val="0"/>
        <w:spacing w:after="0" w:line="34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5 проекта НПА </w:t>
      </w:r>
      <w:r w:rsidR="00572BA3" w:rsidRPr="00572BA3">
        <w:rPr>
          <w:rFonts w:ascii="Times New Roman" w:eastAsia="Calibri" w:hAnsi="Times New Roman" w:cs="Times New Roman"/>
          <w:sz w:val="28"/>
          <w:szCs w:val="28"/>
        </w:rPr>
        <w:t xml:space="preserve">определяет правила расчета и предоставления субсидий   на реализацию мероприятия муниципальной программы «Развитие агропромышленного  </w:t>
      </w:r>
      <w:r w:rsidR="00BF297E">
        <w:rPr>
          <w:rFonts w:ascii="Times New Roman" w:eastAsia="Calibri" w:hAnsi="Times New Roman" w:cs="Times New Roman"/>
          <w:sz w:val="28"/>
          <w:szCs w:val="28"/>
        </w:rPr>
        <w:t>к</w:t>
      </w:r>
      <w:r w:rsidR="00572BA3" w:rsidRPr="00572BA3">
        <w:rPr>
          <w:rFonts w:ascii="Times New Roman" w:eastAsia="Calibri" w:hAnsi="Times New Roman" w:cs="Times New Roman"/>
          <w:sz w:val="28"/>
          <w:szCs w:val="28"/>
        </w:rPr>
        <w:t>омплекса на территор</w:t>
      </w:r>
      <w:r w:rsidR="00572BA3">
        <w:rPr>
          <w:rFonts w:ascii="Times New Roman" w:eastAsia="Calibri" w:hAnsi="Times New Roman" w:cs="Times New Roman"/>
          <w:sz w:val="28"/>
          <w:szCs w:val="28"/>
        </w:rPr>
        <w:t xml:space="preserve">ии Ханты- Мансийского района» </w:t>
      </w:r>
      <w:r w:rsidR="00572BA3" w:rsidRPr="00572BA3">
        <w:rPr>
          <w:rFonts w:ascii="Times New Roman" w:eastAsia="Calibri" w:hAnsi="Times New Roman" w:cs="Times New Roman"/>
          <w:sz w:val="28"/>
          <w:szCs w:val="28"/>
        </w:rPr>
        <w:t>«Развитие системы заготовки и переработки дикоросов» с целью возмещения затрат сельскохозяйственным товаропроизводителям, осуществляющим производство (сбор) и реализацию продукции  дикоросов  из бюджета  муниципального образования  за счет субвенций   из бюджета автономного округа</w:t>
      </w:r>
      <w:r w:rsidR="00572B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317D" w:rsidRPr="0090317D" w:rsidRDefault="004C76D1" w:rsidP="0090317D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317D" w:rsidRPr="0090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Проекта  </w:t>
      </w:r>
      <w:r w:rsidR="0057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предусматривает </w:t>
      </w:r>
      <w:r w:rsidR="0090317D" w:rsidRPr="00903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из бю</w:t>
      </w:r>
      <w:r w:rsidR="00572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Ханты-Мансийского района.</w:t>
      </w:r>
    </w:p>
    <w:p w:rsidR="00CA123B" w:rsidRPr="00CA123B" w:rsidRDefault="00CA123B" w:rsidP="00411799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 что при подготовке проекта акта процедуры, предусмотренные разделом III</w:t>
      </w: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регулирующим органом соблюдены.</w:t>
      </w:r>
    </w:p>
    <w:p w:rsidR="00CA123B" w:rsidRPr="00CA123B" w:rsidRDefault="00CA123B" w:rsidP="00CA123B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содержащем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CA123B" w:rsidRDefault="00CA123B" w:rsidP="00CA123B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регулирующим органом сформулирована точно;</w:t>
      </w:r>
    </w:p>
    <w:p w:rsidR="00572BA3" w:rsidRDefault="004F70B2" w:rsidP="00572BA3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направлен на </w:t>
      </w:r>
      <w:r w:rsidR="0057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затрат </w:t>
      </w:r>
      <w:r w:rsidR="00572BA3" w:rsidRPr="0057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недополученных доходов </w:t>
      </w:r>
      <w:r w:rsidRPr="004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 w:rsidR="0057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0E1CC2" w:rsidRPr="000E1CC2" w:rsidRDefault="000E1CC2" w:rsidP="000E1CC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продукции растениеводства в защищенном грунте собственного производства;</w:t>
      </w:r>
    </w:p>
    <w:p w:rsidR="000E1CC2" w:rsidRDefault="000E1CC2" w:rsidP="000E1CC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реализация продукции растениеводства в открытом грунте собственного производства.</w:t>
      </w:r>
    </w:p>
    <w:p w:rsidR="000E1CC2" w:rsidRPr="000E1CC2" w:rsidRDefault="000E1CC2" w:rsidP="000E1CC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0E1CC2" w:rsidRPr="000E1CC2" w:rsidRDefault="000E1CC2" w:rsidP="000E1CC2">
      <w:pPr>
        <w:widowControl w:val="0"/>
        <w:spacing w:after="0" w:line="34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искусственно выращенной пищевой рыбы собственного производства; </w:t>
      </w:r>
    </w:p>
    <w:p w:rsidR="000E1CC2" w:rsidRPr="000E1CC2" w:rsidRDefault="000E1CC2" w:rsidP="000E1CC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реализация пищевой рыбной продукции собственного производства.</w:t>
      </w:r>
    </w:p>
    <w:p w:rsidR="00572BA3" w:rsidRPr="00572BA3" w:rsidRDefault="00572BA3" w:rsidP="00572BA3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572BA3" w:rsidRPr="00572BA3" w:rsidRDefault="00572BA3" w:rsidP="00572BA3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0E1CC2" w:rsidRDefault="00572BA3" w:rsidP="00CA123B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оборудования для перерабатывающих производств сельскохозяйственной продукции;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CC2" w:rsidRPr="000E1CC2" w:rsidRDefault="000E1CC2" w:rsidP="000E1CC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продукции дикоросов собственной заготовки;</w:t>
      </w:r>
    </w:p>
    <w:p w:rsidR="000E1CC2" w:rsidRPr="000E1CC2" w:rsidRDefault="000E1CC2" w:rsidP="000E1CC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продукции глубокой переработки дикоросов  собственного производства из сырья, заготовленного на территории автономного округа;</w:t>
      </w:r>
    </w:p>
    <w:p w:rsidR="000E1CC2" w:rsidRDefault="000E1CC2" w:rsidP="000E1CC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специализированной техники и оборудования для хранения, переработки и транспортировки дикоросов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123B" w:rsidRDefault="00CA123B" w:rsidP="00CA123B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определены потенциальные адресаты предлагаемого правового регулирования. Установлено, что правовое регулирование распространяется на субъе</w:t>
      </w:r>
      <w:r w:rsidR="00B977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малого предпринимательства</w:t>
      </w: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крестьянско-фермерские хозяйства, </w:t>
      </w:r>
      <w:r w:rsidR="00B977F1">
        <w:rPr>
          <w:rFonts w:ascii="Times New Roman" w:hAnsi="Times New Roman" w:cs="Times New Roman"/>
          <w:sz w:val="28"/>
          <w:szCs w:val="28"/>
        </w:rPr>
        <w:t>осуществляющие свою деятельность на территории района.</w:t>
      </w:r>
    </w:p>
    <w:p w:rsidR="004F70B2" w:rsidRPr="004F70B2" w:rsidRDefault="004F70B2" w:rsidP="004F70B2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не предполагается установка дополнительных функций (полномочий, обязанностей, прав) органов администрации Ханты-Мансийского района.</w:t>
      </w:r>
    </w:p>
    <w:p w:rsidR="00CA123B" w:rsidRDefault="00CA123B" w:rsidP="00CA123B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Дополнительные расходы для субъектов предпринимательской и инвестиционной деятельности не выявлены. </w:t>
      </w:r>
    </w:p>
    <w:p w:rsidR="004F70B2" w:rsidRPr="004F70B2" w:rsidRDefault="004F70B2" w:rsidP="004F70B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действующих схожих порядков предоставления субсидий в муниципальных образованиях автономного округа свидетельствует об определенной степени эффективности рассматриваемого регулирования.</w:t>
      </w:r>
    </w:p>
    <w:p w:rsid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общественных отношений предложенным способом регулирования достаточно обоснованы.</w:t>
      </w:r>
    </w:p>
    <w:p w:rsidR="00CA123B" w:rsidRPr="00CA123B" w:rsidRDefault="00CA123B" w:rsidP="00CA123B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CE3466" w:rsidRPr="00CC4A5E" w:rsidRDefault="00CE3466" w:rsidP="00CC4A5E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370"/>
      </w:tblGrid>
      <w:tr w:rsidR="000B30E4" w:rsidRPr="00927695" w:rsidTr="001E6BE8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4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1E6BE8" w:rsidP="001E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о 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20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4"/>
          </w:p>
        </w:tc>
        <w:bookmarkStart w:id="5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9AA1782" wp14:editId="3D54B29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5"/>
          </w:p>
        </w:tc>
        <w:tc>
          <w:tcPr>
            <w:tcW w:w="2370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8BF" w:rsidRPr="006C3A15" w:rsidRDefault="001E6BE8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  <w:r w:rsidR="00B977F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977F1">
              <w:rPr>
                <w:rFonts w:ascii="Times New Roman" w:eastAsia="Calibri" w:hAnsi="Times New Roman" w:cs="Times New Roman"/>
                <w:sz w:val="28"/>
                <w:szCs w:val="28"/>
              </w:rPr>
              <w:t>Муслимова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3620" w:rsidRDefault="00FF362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C3A15" w:rsidRPr="006C3A15" w:rsidRDefault="00D72BEA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FF3620" w:rsidRDefault="00FF3620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210D5E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труда, 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</w:t>
      </w:r>
      <w:r w:rsidR="00FF3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FF3620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Татьяна Владимировна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</w:t>
      </w:r>
      <w:r w:rsidR="00FF3620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</w:t>
      </w:r>
    </w:p>
    <w:sectPr w:rsidR="00D25089" w:rsidSect="00B977F1">
      <w:pgSz w:w="11906" w:h="16838"/>
      <w:pgMar w:top="1276" w:right="1276" w:bottom="993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632F6"/>
    <w:rsid w:val="000656DD"/>
    <w:rsid w:val="0009485B"/>
    <w:rsid w:val="00094C89"/>
    <w:rsid w:val="000A083C"/>
    <w:rsid w:val="000A20DE"/>
    <w:rsid w:val="000B30E4"/>
    <w:rsid w:val="000B4C48"/>
    <w:rsid w:val="000B6BD3"/>
    <w:rsid w:val="000E1CC2"/>
    <w:rsid w:val="000E2AD9"/>
    <w:rsid w:val="000F242D"/>
    <w:rsid w:val="00113D3B"/>
    <w:rsid w:val="0012693F"/>
    <w:rsid w:val="00150967"/>
    <w:rsid w:val="00167936"/>
    <w:rsid w:val="00182B80"/>
    <w:rsid w:val="001847D2"/>
    <w:rsid w:val="0018600B"/>
    <w:rsid w:val="00186A59"/>
    <w:rsid w:val="001C5C3F"/>
    <w:rsid w:val="001E6BE8"/>
    <w:rsid w:val="00210D5E"/>
    <w:rsid w:val="00225C7D"/>
    <w:rsid w:val="002300FD"/>
    <w:rsid w:val="00234040"/>
    <w:rsid w:val="00244D6E"/>
    <w:rsid w:val="002529F0"/>
    <w:rsid w:val="00256129"/>
    <w:rsid w:val="00261D49"/>
    <w:rsid w:val="002853B1"/>
    <w:rsid w:val="00297A80"/>
    <w:rsid w:val="002A75A0"/>
    <w:rsid w:val="002D0994"/>
    <w:rsid w:val="00301280"/>
    <w:rsid w:val="00343BF0"/>
    <w:rsid w:val="00343FF5"/>
    <w:rsid w:val="003623CC"/>
    <w:rsid w:val="003624D8"/>
    <w:rsid w:val="00364330"/>
    <w:rsid w:val="003756AE"/>
    <w:rsid w:val="00393DAD"/>
    <w:rsid w:val="00397EFC"/>
    <w:rsid w:val="003B0A77"/>
    <w:rsid w:val="003E699E"/>
    <w:rsid w:val="003F2416"/>
    <w:rsid w:val="003F3603"/>
    <w:rsid w:val="00404BE7"/>
    <w:rsid w:val="00411799"/>
    <w:rsid w:val="00417101"/>
    <w:rsid w:val="00422070"/>
    <w:rsid w:val="00430F1F"/>
    <w:rsid w:val="00431272"/>
    <w:rsid w:val="004333EE"/>
    <w:rsid w:val="00436491"/>
    <w:rsid w:val="0043751F"/>
    <w:rsid w:val="0044500A"/>
    <w:rsid w:val="0045396B"/>
    <w:rsid w:val="00465FC6"/>
    <w:rsid w:val="00484A62"/>
    <w:rsid w:val="00493879"/>
    <w:rsid w:val="004B28BF"/>
    <w:rsid w:val="004C069C"/>
    <w:rsid w:val="004C6D61"/>
    <w:rsid w:val="004C7125"/>
    <w:rsid w:val="004C76D1"/>
    <w:rsid w:val="004F0B8B"/>
    <w:rsid w:val="004F70B2"/>
    <w:rsid w:val="004F72DA"/>
    <w:rsid w:val="004F7CDE"/>
    <w:rsid w:val="00520513"/>
    <w:rsid w:val="00532CA8"/>
    <w:rsid w:val="005439BD"/>
    <w:rsid w:val="00552196"/>
    <w:rsid w:val="0056694C"/>
    <w:rsid w:val="00572453"/>
    <w:rsid w:val="00572BA3"/>
    <w:rsid w:val="005938BF"/>
    <w:rsid w:val="00593F34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81595"/>
    <w:rsid w:val="006A5B30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55AC"/>
    <w:rsid w:val="0077481C"/>
    <w:rsid w:val="00777C08"/>
    <w:rsid w:val="007A0722"/>
    <w:rsid w:val="007C5828"/>
    <w:rsid w:val="007E1657"/>
    <w:rsid w:val="007E36B9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52"/>
    <w:rsid w:val="008E4601"/>
    <w:rsid w:val="008E5E55"/>
    <w:rsid w:val="0090317D"/>
    <w:rsid w:val="00903CF1"/>
    <w:rsid w:val="00927695"/>
    <w:rsid w:val="00933810"/>
    <w:rsid w:val="009364B4"/>
    <w:rsid w:val="009417C2"/>
    <w:rsid w:val="009440DF"/>
    <w:rsid w:val="0096338B"/>
    <w:rsid w:val="009917B5"/>
    <w:rsid w:val="009A231B"/>
    <w:rsid w:val="009B123E"/>
    <w:rsid w:val="009C011D"/>
    <w:rsid w:val="009C0855"/>
    <w:rsid w:val="009C1751"/>
    <w:rsid w:val="009D124B"/>
    <w:rsid w:val="009F6EC2"/>
    <w:rsid w:val="00A14960"/>
    <w:rsid w:val="00A33D50"/>
    <w:rsid w:val="00A36284"/>
    <w:rsid w:val="00A411B6"/>
    <w:rsid w:val="00A83913"/>
    <w:rsid w:val="00AA722E"/>
    <w:rsid w:val="00AB30FA"/>
    <w:rsid w:val="00AC0CF8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977F1"/>
    <w:rsid w:val="00BB217D"/>
    <w:rsid w:val="00BB611F"/>
    <w:rsid w:val="00BB6639"/>
    <w:rsid w:val="00BD1FF7"/>
    <w:rsid w:val="00BE2AF4"/>
    <w:rsid w:val="00BF262A"/>
    <w:rsid w:val="00BF297E"/>
    <w:rsid w:val="00C002B4"/>
    <w:rsid w:val="00C16253"/>
    <w:rsid w:val="00C21D1F"/>
    <w:rsid w:val="00C239F1"/>
    <w:rsid w:val="00C36F0C"/>
    <w:rsid w:val="00C36F5A"/>
    <w:rsid w:val="00C51F70"/>
    <w:rsid w:val="00C7412C"/>
    <w:rsid w:val="00CA123B"/>
    <w:rsid w:val="00CA7141"/>
    <w:rsid w:val="00CC4A5E"/>
    <w:rsid w:val="00CC7C2A"/>
    <w:rsid w:val="00CD4CCD"/>
    <w:rsid w:val="00CE3466"/>
    <w:rsid w:val="00CE4584"/>
    <w:rsid w:val="00CF3794"/>
    <w:rsid w:val="00CF44D0"/>
    <w:rsid w:val="00CF744D"/>
    <w:rsid w:val="00D007DF"/>
    <w:rsid w:val="00D05527"/>
    <w:rsid w:val="00D10889"/>
    <w:rsid w:val="00D155CC"/>
    <w:rsid w:val="00D17303"/>
    <w:rsid w:val="00D20948"/>
    <w:rsid w:val="00D213D8"/>
    <w:rsid w:val="00D25089"/>
    <w:rsid w:val="00D26095"/>
    <w:rsid w:val="00D33915"/>
    <w:rsid w:val="00D4701F"/>
    <w:rsid w:val="00D53054"/>
    <w:rsid w:val="00D64FB3"/>
    <w:rsid w:val="00D72BEA"/>
    <w:rsid w:val="00D8061E"/>
    <w:rsid w:val="00DB032D"/>
    <w:rsid w:val="00DE12FA"/>
    <w:rsid w:val="00DE3D05"/>
    <w:rsid w:val="00E020E1"/>
    <w:rsid w:val="00E024DC"/>
    <w:rsid w:val="00E05238"/>
    <w:rsid w:val="00E05262"/>
    <w:rsid w:val="00E208C1"/>
    <w:rsid w:val="00E26486"/>
    <w:rsid w:val="00E35131"/>
    <w:rsid w:val="00E516F7"/>
    <w:rsid w:val="00E624C3"/>
    <w:rsid w:val="00EC1EE5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767D6"/>
    <w:rsid w:val="00FA1019"/>
    <w:rsid w:val="00FA4CF5"/>
    <w:rsid w:val="00FB7756"/>
    <w:rsid w:val="00FC3FBE"/>
    <w:rsid w:val="00FC6ED4"/>
    <w:rsid w:val="00FE367D"/>
    <w:rsid w:val="00FE71F9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117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117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90317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allnpa/otsenka-reguliruyushchego-vozdeystviya/publichnye-konsultatsii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9802-F44E-49F7-9E5F-5EDA50F9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2020-12-26T04:35:00Z</dcterms:created>
  <dcterms:modified xsi:type="dcterms:W3CDTF">2020-12-26T06:16:00Z</dcterms:modified>
</cp:coreProperties>
</file>